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305</w:t>
      </w:r>
    </w:p>
    <w:p>
      <w:r>
        <w:t>Bundesgericht (BGE), 1975-11-06, DE</w:t>
      </w:r>
    </w:p>
    <w:p>
      <w:r>
        <w:rPr>
          <w:b/>
        </w:rPr>
        <w:t xml:space="preserve">Quelle: </w:t>
      </w:r>
      <w:r>
        <w:t>https://mcp.opencaselaw.ch/entscheid/bge_101 II 305</w:t>
      </w:r>
    </w:p>
    <w:p>
      <w:r>
        <w:t>FR: ATF 101 II 305</w:t>
      </w:r>
    </w:p>
    <w:p>
      <w:r>
        <w:t>IT: DTF 101 II 305</w:t>
      </w:r>
    </w:p>
    <w:p>
      <w:pPr>
        <w:pStyle w:val="Heading2"/>
      </w:pPr>
      <w:r>
        <w:t>Regeste</w:t>
      </w:r>
    </w:p>
    <w:p>
      <w:r>
        <w:t>Regeste Anfechtung einer letztwilligen Verfügung, die einem Erbvertrag widerspricht (Art. 494 Abs. 3 ZGB). 1. Ein Erbvertrag kann neben Bestimmungen vertraglicher Natur auch letztwillige Verfügungen enthalten, die frei widerruflich sind (Art. 509 ZGB) (Erw. 3a). 2. Auf die Anfechtung einer letztwilligen Verfügung, die einem Erbvertrag widerspricht, finden die Bestimmungen über die Herabsetzungsklage (Art. 522 bis 533 ZGB) analoge Anwendung (Erw. 3b).</w:t>
      </w:r>
    </w:p>
    <w:p>
      <w:pPr>
        <w:pStyle w:val="Heading2"/>
      </w:pPr>
      <w:r>
        <w:t>Erwägungen</w:t>
      </w:r>
    </w:p>
    <w:p>
      <w:r>
        <w:rPr>
          <w:b/>
        </w:rPr>
        <w:t>E. 3</w:t>
      </w:r>
    </w:p>
    <w:p>
      <w:r>
        <w:t>a) Zur Begründung ihrer Berufung macht die Klägerin zunächst geltend, das Testament vom 3. Dezember 1965, in welchem die Beklagte von der Erblasserin zur Alleinerbin eingesetzt worden ist, verletze den von Mathilde R. mit ihrer Mutter abgeschlossenen Erbvertrag vom 8. Juli 1961. Sinngemäss behauptet sie damit, das Testament sei ungültig, weil es neben dem Erbvertrag nicht zu Recht bestehen könne. Wegen Unvereinbarkeit mit erbvertraglichen Verpflichtungen kann das Testament zum vorneherein dann nicht angefochten werden, wenn der entsprechende Teil des Erbvertrages überhaupt nicht Bestimmungen vertraglicher Natur, sondern einseitige testamentarische Verfügungen enthält. Es ist nämlich allgemein anerkannt, dass Verfügungen von Todes wegen, die in der Form des Erbvertrages errichtet werden, neben Bestimmungen vertraglicher Art auch letztwillige Verfügungen enthalten BGE 101 II 305 S. 310 können, die gemäss Art. 509 ZGB frei widerruflich sind ( BGE 96 II 281 Erw. 3 und die dort angeführten Zitate). Bei Auslegung des Erbvertrages vom 8. Juli 1961 ergibt sich, dass die von der Klägerin angefochtene Ziffer II nicht vertraglicher Natur ist, sondern eine letztwillige Verfügung darstellt. Vertraglicher Natur ist nur Ziffer I, die der Mutter der Erblasserin anstelle ihres Pflichtteilsanspruches die Nutzniessung am Nachlass zuweist. Diese Anordnung bedurfte der Zustimmung der Mutter Berta R. Ziffer II des Erbvertrages enthält neben zwei Vermächtnissen die Bestimmung, dass bei Vorabsterben der Mutter die beiden noch lebenden Schwestern der Erblasserin bzw. deren Nachkommen ihre einzigen Erben sein werden. Dass diese Anordnungen vertraglicher Natur wären, ergibt sich aus der Verfügung in keiner Weise. Die Annahme der Klägerin, ihre Mutter habe die Liegenschaft ... Nr. 130 nur unter der Bedingung zu einem so günstigen Preis ihrer Tochter Mathilde verkauft, dass diese sich verpflichte, ihre beiden Schwestern zu gleichen Teilen als Erbinnen einzusetzen, findet weder im Wortlaut noch im Sinn des Erbvertrages eine Stütze. Die Klägerin behauptet auch nicht, eine solche Bedingung sei in dem am gleichen Tag wie der Erbvertrag zwischen der Erblasserin und ihrer Mutter abgeschlossenen Kaufvertrag enthalten. Das würde übrigens auch nicht genügen, weil eine solche Bedingung erbvertraglicher Natur wäre und daher der Form des Erbvertrages bedürfte. Ist demnach Ziffer II der Verfügung vom 8. Juli 1961 nicht erbvertraglicher Natur, sondern stellt sie eine letztwillige Verfügung dar, so durfte die Erblasserin sie jederzeit gemäss Art. 509 ZGB durch eine spätere Verfügung aufheben und ersetzen. Damit fällt eine Anfechtung gestützt auf Art. 494 Abs. 3 ZGB zum vorneherein ausser Betracht. b) Selbst wenn man aber der angefochtenen Bestimmung des Erbvertrages vom 8. Juli 1961 mit der Klägerin die vertragliche Natur zubilligen wollte, wäre dieser nicht geholfen, weil die Anfechtung auf jeden Fall verjährt wäre. Der Auffassung der Vorinstanz, der Klägerin stehe gegenüber der Widerklage die unverjährbare Herabsetzungseinrede gemäss Art. 533 Abs. 3 ZGB zu, kann nicht gefolgt werden. Der Widerklage kommt nämlich, soweit sie die Feststellung der internen Beteiligung der Parteien an der Liegenschaft ... Nr. 127 zum Gegenstand hat, gar keine selbständige Bedeutung zu. Materiell BGE 101 II 305 S. 311 stellt sie vielmehr lediglich einen Antrag auf Klageabweisung dar. Mit dem Widerklagebegehren auf richterliche Feststellung der Beteiligungsverhältnisse an der Liegenschaft will die Beklagte nur den bereits bestehenden Zustand sanktionieren lassen. Hiefür hätte es jedoch genügt, wenn sie die Abweisung der Klage beantragt hätte. Mit einem auf Klageabweisung lautenden Urteil wäre das Testament als gültig erklärt und die Klägerin von der Erbschaft ausgeschlossen worden. Anderseits hätte die Beklagte bereits auf Grund des Testamentes vom 3. Dezember 1965, gegen das innert Monatsfrist keine Einsprache erhoben worden war, gestützt auf Art. 559 ZGB die Erbbescheinigung verlangen, den Besitz der Erbschaft antreten und allfällige Grundbucheintragungen erwirken können ( Art. 18 GBV ; TUOR/PICENONI, N. 23 ff. zu Art. 559 ZGB ; BGE 98 Ib 92 ff., BGE 82 I 188 ff. und BGE 79 I 260 ff.). Tatsächlich war die Beklagte auch im Besitze der Erbschaft, mit Einschluss des zwei-Drittel-Anteils an der Liegenschaft ... Nr. 127. Die Klägerin hatte in den vergangenen Jahren in sämtlichen Korrespondenzen, Abrechnungen etc. stets anerkannt, dass die Beklagte Alleinerbin und als solche an der fraglichen Liegenschaft zu zwei Dritteln (nämlich dem ihr ursprünglich zustehenden Drittel und dem von der Schwester Mathilde R. geerbten Drittel) beteiligt sei. Die Beklagte war also Besitzerin dieses zwei-Drittel-Anteils. Es ist die Klägerin, die mit ihrer Anfechtungsklage diesen Besitz bestreiten will; die Beklagte kann sich ihr gegenüber auf eine Abwehr beschränken und braucht nicht selbst vorzugehen. Damit besteht aber auch kein Anlass, der Klägerin eine unverjährbare Herabsetzungseinrede zuzugestehen (vgl. dazu TUOR, N. 14 zu Art. 521 ZGB , und PICENONI, Die Verjährung der Testamentsungültigkeits- und Herabsetzungsklage, SJZ 63/1967 S. 104/5). Es stellt sich somit lediglich die Frage, ob die Anfechtungsklage verjährt sei, was beide Vorinstanzen mit Recht bejaht haben. Die in Art. 494 Abs. 3 ZGB geregelte Anfechtung eines Testaments, das mit Verpflichtungen des Erblassers aus einem Erbvertrag in Widerspruch steht, wird in Lehre und Rechtsprechung nahezu einhellig als ein der Herabsetzungsklage vergleichbarer Fall betrachtet, auf welchen die Art. 522 bis 533 ZGB analoge Anwendung finden (TUOR, N. 11 und 19, und ESCHER, N. 10 zu Art. 494 ZGB mit Hinweisen; BGE 73 II 10 und BGE 62 II 133 ). BGE 101 II 305 S. 312 Demgegenüber vertritt RASCHEIN, Die Ungültigkeit der Verfügungen von Todes wegen, Diss. Bern 1954, S. 55, die Ansicht, ein Testament, das mit einer vorher eingegangenen erbvertraglichen Verpflichtung des Erblassers unvereinbar sei, unterliege der Ungültigkeitsklage gemäss Art. 519 bis 521 ZGB. Dieser Auffassung kann jedenfalls insofern nicht gefolgt werden, als der Autor Ungültigkeit des Testamentes im Sinne von Art. 519 Ziff. 3 ZGB und damit Rechtswidrigkeit angenommen hat. Eine nach Errichtung eines Erbvertrages getroffene letztwillige Verfügung ist nicht schlechthin ungültig, sondern lediglich so weit anfechtbar, als sie zum Erbvertrag in Widerspruch steht. Sie verstösst somit nicht gegen das Gesetz, sondern gegebenenfalls gegen eine früher eingegangene vertragliche Verpflichtung. Liegt aber keine Rechtswidrigkeit vor, so ist auch die in Art. 521 Abs. 2 ZGB vorgesehene Verjährungsfrist von 30 Jahren ausgeschlossen. Die einjährige Verjährungsfrist ist aber sowohl bei Anwendung von Art. 521 Abs. 1 als auch von Art. 533 Abs. 1 ZGB im vorliegenden Fall bereits abgelaufen. Nach der erstgenannten Bestimmung begann diese Frist von dem Zeitpunkt an zu laufen, in welchem die Klägerin von der Verfügung und vom Ungültigkeitsgrund Kenntnis erlangte. Das war nach der vom Appellationsgericht übernommenen und damit für das Bundesgericht verbindlichen tatsächlichen Feststellung des Zivilgerichts spätestens im Verlaufe des Monats Juli 1966 der Fall. Gleich verhält es sich aber auch bezüglich der Frist des Art. 533 Abs. 1 ZGB . Diese beginnt im Augenblick, da der betroffene Erbe von der Verletzung seiner Rechte Kenntnis erhalten hat. Im vorliegenden Fall war dies ebenfalls im Juli 1966. Die Höhe des Nachlasses spielt in diesem Zusammenhang nur eine Rolle, wenn von ihr die Frage abhängt, ob eine Verletzung des Pflichtteils oder anderer Rechte der Erben vorliegt. Steht aber mit der Kenntnis vom Testament unzweifelhaft fest, dass der Pflichtteil bzw. eine Verpflichtung aus einem früheren Erbvertrag verletzt ist, beginnt die einjährige Verjährungsfrist von diesem Augenblick an zu laufen. Wohl mag die Grösse des Nachlasses für den verletzten Erben insofern von Bedeutung sein, als er sich darüber schlüssig zu werden hat, ob sich die Einreichung einer Anfechtungs- bzw. Herabsetzungsklage lohne oder nicht. Das kann aber für den Beginn der Verjährungsfrist nicht massgebend sein. Damit steht BGE 101 II 305 S. 313 fest, dass im vorliegenden Fall eine allfällige Anfechtungsklage spätestens am 31. Juli 1967 verjährt wäre. c) Endlich müsste dem Appellationsgericht aber auch insofern beigepflichtet werden, als dieses die Auffassung vertrat, die Klägerin habe das Testament ausdrücklich anerkannt, auch nachdem ihr der angeblich bestehende Widerspruch zum früheren Erbvertrag bekannt gewesen sei. Dieser Schluss konnte bereits aus der Vereinbarung der Parteien vom 31. Dezember 1969/7. Januar 1970 gezogen werden, in welcher die Klägerin ausdrücklich mit ihrer Unterschrift bestätigte, dass sie an der Liegenschaft ... Nr. 127 zu einem Drittel und die Beklagte zu zwei Dritteln beteiligt sei. Auf die früheren Korrespondenzen hat die Vorinstanz nur im Sinne einer Ergänzung hingewiesen. Es kann deshalb dahingestellt bleiben, ob diese Korrespondenzen - wie die Klägerin behauptet - unbeachtlich seien, weil die Vereinbarung vom 31. Dezember 1969/7. Januar 1970 den Satz enthält: "Sämtliche Korrespondenzen, die den Abtausch zum Gegenstand haben, sind somit gegenstandslos." Immerhin wäre dazu zu bemerken, dass die Klägerin nicht nur in Korrespondenzen, die sich auf den im Testament vorgesehenen Austausch bezogen, sondern auch in andern Briefen die Gültigkeit des Testaments ausdrücklich anerkannt hat. Das gilt insbesondere für einen Brief der Klägerin an die Beklagte vom 18. September 1969. Aus diesen Ausführungen folgt, dass sich die Berufung, soweit sie die Hauptklage betrifft, materiell in dreifacher Hinsicht als offensichtlich unbegründet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